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c5282" w:sz="6" w:space="1"/>
        </w:pBdr>
        <w:spacing w:after="40" w:before="40"/>
      </w:pPr>
    </w:p>
    <w:p>
      <w:pPr>
        <w:spacing w:after="60" w:before="140"/>
        <w:jc w:val="center"/>
      </w:pPr>
      <w:r>
        <w:rPr>
          <w:rFonts w:ascii="Georgia" w:cs="Georgia" w:eastAsia="Georgia" w:hAnsi="Georgia"/>
          <w:b/>
          <w:bCs/>
          <w:color w:val="1a1e30"/>
          <w:spacing w:val="100"/>
          <w:sz w:val="40"/>
          <w:szCs w:val="40"/>
        </w:rPr>
        <w:t xml:space="preserve">GREG SMETHELLS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60" w:before="80"/>
        <w:jc w:val="center"/>
      </w:pPr>
      <w:r>
        <w:rPr>
          <w:rFonts w:ascii="Georgia" w:cs="Georgia" w:eastAsia="Georgia" w:hAnsi="Georgia"/>
          <w:color w:val="4a5068"/>
          <w:sz w:val="20"/>
          <w:szCs w:val="20"/>
        </w:rPr>
        <w:t xml:space="preserve">gsmethells@gmail.com</w:t>
      </w:r>
      <w:r>
        <w:rPr>
          <w:rFonts w:ascii="Georgia" w:cs="Georgia" w:eastAsia="Georgia" w:hAnsi="Georgia"/>
          <w:color w:val="4a5068"/>
          <w:sz w:val="20"/>
          <w:szCs w:val="20"/>
        </w:rPr>
        <w:t xml:space="preserve">  |  </w:t>
      </w:r>
      <w:r>
        <w:rPr>
          <w:rFonts w:ascii="Georgia" w:cs="Georgia" w:eastAsia="Georgia" w:hAnsi="Georgia"/>
          <w:color w:val="4a5068"/>
          <w:sz w:val="20"/>
          <w:szCs w:val="20"/>
        </w:rPr>
        <w:t xml:space="preserve">linkedin.com/in/greg-smethells</w:t>
      </w:r>
      <w:r>
        <w:rPr>
          <w:rFonts w:ascii="Georgia" w:cs="Georgia" w:eastAsia="Georgia" w:hAnsi="Georgia"/>
          <w:color w:val="4a5068"/>
          <w:sz w:val="20"/>
          <w:szCs w:val="20"/>
        </w:rPr>
        <w:t xml:space="preserve">  |  </w:t>
      </w:r>
      <w:r>
        <w:rPr>
          <w:rFonts w:ascii="Georgia" w:cs="Georgia" w:eastAsia="Georgia" w:hAnsi="Georgia"/>
          <w:color w:val="4a5068"/>
          <w:sz w:val="20"/>
          <w:szCs w:val="20"/>
        </w:rPr>
        <w:t xml:space="preserve">smethells.com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80" w:before="240"/>
        <w:jc w:val="center"/>
      </w:pPr>
      <w:r>
        <w:rPr>
          <w:rFonts w:ascii="Georgia" w:cs="Georgia" w:eastAsia="Georgia" w:hAnsi="Georgia"/>
          <w:b/>
          <w:bCs/>
          <w:color w:val="1a1e30"/>
          <w:spacing w:val="80"/>
          <w:sz w:val="24"/>
          <w:szCs w:val="24"/>
        </w:rPr>
        <w:t xml:space="preserve">BOARD ADVISOR PROFILE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80" w:before="1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Former CTO and Technology Director with 20+ years building and scaling an FDA-approved medical imaging platform that served over 25% of US orthopedic practices and reached $10M ARR before acquisition by a Fortune 500 enterprise. Advises boards and founders on technology strategy, regulatory compliance, and organizational scaling in MedTech.</w:t>
      </w:r>
    </w:p>
    <w:p>
      <w:pPr>
        <w:spacing w:after="120" w:before="120"/>
      </w:pPr>
      <w:r>
        <w:rPr>
          <w:rFonts w:ascii="Georgia" w:cs="Georgia" w:eastAsia="Georgia" w:hAnsi="Georgia"/>
          <w:b/>
          <w:bCs/>
          <w:color w:val="2c5282"/>
          <w:sz w:val="20"/>
          <w:szCs w:val="20"/>
        </w:rPr>
        <w:t xml:space="preserve">Core Expertise: </w:t>
      </w:r>
      <w:r>
        <w:rPr>
          <w:rFonts w:ascii="Georgia" w:cs="Georgia" w:eastAsia="Georgia" w:hAnsi="Georgia"/>
          <w:color w:val="4a5068"/>
          <w:sz w:val="20"/>
          <w:szCs w:val="20"/>
        </w:rPr>
        <w:t xml:space="preserve">Technology Strategy | Regulatory Compliance (FDA/ISO) | Medical Imaging &amp; PACS | M&amp;A Advisory | AI Adoption | Cybersecurity | Team Building &amp; Mentorship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80" w:before="240"/>
        <w:jc w:val="center"/>
      </w:pPr>
      <w:r>
        <w:rPr>
          <w:rFonts w:ascii="Georgia" w:cs="Georgia" w:eastAsia="Georgia" w:hAnsi="Georgia"/>
          <w:b/>
          <w:bCs/>
          <w:color w:val="1a1e30"/>
          <w:spacing w:val="80"/>
          <w:sz w:val="24"/>
          <w:szCs w:val="24"/>
        </w:rPr>
        <w:t xml:space="preserve">SKILLS AND ACHIEVEMENTS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40" w:before="140"/>
      </w:pPr>
      <w:r>
        <w:rPr>
          <w:rFonts w:ascii="Georgia" w:cs="Georgia" w:eastAsia="Georgia" w:hAnsi="Georgia"/>
          <w:b/>
          <w:bCs/>
          <w:color w:val="2c5282"/>
          <w:sz w:val="22"/>
          <w:szCs w:val="22"/>
        </w:rPr>
        <w:t xml:space="preserve">Strategic Growth &amp; Scaling</w:t>
      </w:r>
    </w:p>
    <w:p>
      <w:pPr>
        <w:spacing w:after="20" w:before="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Shaped technology and go-to-market strategy that turned an early-stage MedTech startup into the dominant platform in its category, delivering measurable value to stakeholders at every stage.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Grew a medical imaging platform from near-zero to 25%+ US orthopedic market share and $10M ARR, positioning the company for a successful Fortune 500 acquisition.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Drove post-acquisition revenue growth from $10M to over $16M ARR within two years by expanding the product portfolio and guiding cloud transformation strategy.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Eliminated significant infrastructure costs and improved service resilience by leading a multi-year transformation from on-premise servers to a fully cloud-based SaaS model, migrating over 4 PB of mission-critical medical data without disruption to customers.</w:t>
      </w:r>
    </w:p>
    <w:p>
      <w:pPr>
        <w:spacing w:after="40" w:before="140"/>
      </w:pPr>
      <w:r>
        <w:rPr>
          <w:rFonts w:ascii="Georgia" w:cs="Georgia" w:eastAsia="Georgia" w:hAnsi="Georgia"/>
          <w:b/>
          <w:bCs/>
          <w:color w:val="2c5282"/>
          <w:sz w:val="22"/>
          <w:szCs w:val="22"/>
        </w:rPr>
        <w:t xml:space="preserve">Regulatory &amp; Risk Governance</w:t>
      </w:r>
    </w:p>
    <w:p>
      <w:pPr>
        <w:spacing w:after="20" w:before="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Advises boards and founders on building regulatory readiness into company strategy, reducing compliance risk, and protecting market access in highly regulated environments.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Built a culture of continuous regulatory improvement that reduced FDA 483 observations audit over audit, achieving zero observations by the fourth inspection — demonstrating sustained commitment to compliance governance.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Secured regulatory continuity post-acquisition by remediating Design History Files and achieving compliance with ISO 62304, ISO 14971, and IEC 81001-5-1, protecting the product’s market position.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Prepared a catch-up 510(k) submission for FDA approval, safeguarding the company’s ability to sell its core product in the US market.</w:t>
      </w:r>
    </w:p>
    <w:p>
      <w:pPr>
        <w:spacing w:after="40" w:before="140"/>
      </w:pPr>
      <w:r>
        <w:rPr>
          <w:rFonts w:ascii="Georgia" w:cs="Georgia" w:eastAsia="Georgia" w:hAnsi="Georgia"/>
          <w:b/>
          <w:bCs/>
          <w:color w:val="2c5282"/>
          <w:sz w:val="22"/>
          <w:szCs w:val="22"/>
        </w:rPr>
        <w:t xml:space="preserve">M&amp;A &amp; Transaction Readiness</w:t>
      </w:r>
    </w:p>
    <w:p>
      <w:pPr>
        <w:spacing w:after="20" w:before="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Brings firsthand experience navigating both sides of a strategic acquisition, from preparing a company for due diligence through post-merger integration and value delivery.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Negotiated and closed the acquisition of Medstrat by Zimmer Biomet (Fortune 500), delivering a successful exit for the founding team and a seamless transition for customers.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Ensured operational continuity through post-acquisition integration, preserving service levels for one of the largest orthopedic PACS installations in the US while delivering growth targets.</w:t>
      </w:r>
    </w:p>
    <w:p>
      <w:pPr>
        <w:spacing w:after="40" w:before="140"/>
      </w:pPr>
      <w:r>
        <w:rPr>
          <w:rFonts w:ascii="Georgia" w:cs="Georgia" w:eastAsia="Georgia" w:hAnsi="Georgia"/>
          <w:b/>
          <w:bCs/>
          <w:color w:val="2c5282"/>
          <w:sz w:val="22"/>
          <w:szCs w:val="22"/>
        </w:rPr>
        <w:t xml:space="preserve">AI Adoption &amp; Innovation Strategy</w:t>
      </w:r>
    </w:p>
    <w:p>
      <w:pPr>
        <w:spacing w:after="20" w:before="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Helps founders and boards understand where AI creates genuine competitive advantage versus hype, and guides practical adoption that delivers measurable productivity gains.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Accelerated engineering delivery by introducing agentic AI workflows and tools across development teams, demonstrating ROI to an Engineering Advisory Review Board.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Reduced compliance overhead by designing automated tooling that eliminated manual regulatory processes, freeing engineering capacity for product innovation.</w:t>
      </w:r>
    </w:p>
    <w:p>
      <w:pPr>
        <w:spacing w:after="40" w:before="140"/>
      </w:pPr>
      <w:r>
        <w:rPr>
          <w:rFonts w:ascii="Georgia" w:cs="Georgia" w:eastAsia="Georgia" w:hAnsi="Georgia"/>
          <w:b/>
          <w:bCs/>
          <w:color w:val="2c5282"/>
          <w:sz w:val="22"/>
          <w:szCs w:val="22"/>
        </w:rPr>
        <w:t xml:space="preserve">Leadership Mentoring &amp; Governance</w:t>
      </w:r>
    </w:p>
    <w:p>
      <w:pPr>
        <w:spacing w:after="20" w:before="20"/>
        <w:jc w:val="left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Acts as a trusted sounding board for founders and senior leaders, strengthening decision-making, building leadership pipelines, and fostering cultures that retain top talent through growth and transition.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Built and retained a high-performing team where senior engineers stayed 10+ years and key leaders remained through nearly two decades of growth, a Fortune 500 acquisition, and post-merger integration.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Mentored staff from individual contributors into management roles, creating the leadership bench that allowed the company to scale from under 10 employees to 50+ without losing its culture.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Participated in annual board meetings over a 17-year tenure, contributing to strategic planning, financial oversight, and governance of a growing MedTech company.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Georgia" w:cs="Georgia" w:eastAsia="Georgia" w:hAnsi="Georgia"/>
          <w:color w:val="4a5068"/>
          <w:sz w:val="21"/>
          <w:szCs w:val="21"/>
        </w:rPr>
        <w:t xml:space="preserve">Championed a people-first leadership approach that colleagues credit with bringing out the best in their teams — balancing technical ambition with customer focus and product stability.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80" w:before="240"/>
        <w:jc w:val="center"/>
      </w:pPr>
      <w:r>
        <w:rPr>
          <w:rFonts w:ascii="Georgia" w:cs="Georgia" w:eastAsia="Georgia" w:hAnsi="Georgia"/>
          <w:b/>
          <w:bCs/>
          <w:color w:val="1a1e30"/>
          <w:spacing w:val="80"/>
          <w:sz w:val="24"/>
          <w:szCs w:val="24"/>
        </w:rPr>
        <w:t xml:space="preserve">PROFESSIONAL EXPERIENCE</w:t>
      </w:r>
    </w:p>
    <w:p>
      <w:pPr>
        <w:pBdr>
          <w:bottom w:val="single" w:color="2c5282" w:sz="6" w:space="1"/>
        </w:pBdr>
        <w:spacing w:after="40" w:before="40"/>
      </w:pPr>
    </w:p>
    <w:p>
      <w:pPr>
        <w:tabs>
          <w:tab w:val="right" w:pos="9026"/>
        </w:tabs>
        <w:spacing w:after="20" w:before="40"/>
      </w:pPr>
      <w:r>
        <w:rPr>
          <w:rFonts w:ascii="Georgia" w:cs="Georgia" w:eastAsia="Georgia" w:hAnsi="Georgia"/>
          <w:b/>
          <w:bCs/>
          <w:color w:val="2c5282"/>
          <w:sz w:val="21"/>
          <w:szCs w:val="21"/>
        </w:rPr>
        <w:t xml:space="preserve">Medstrat Technology Director, Zimmer Biomet</w:t>
      </w:r>
      <w:r>
        <w:rPr>
          <w:rFonts w:ascii="Georgia" w:cs="Georgia" w:eastAsia="Georgia" w:hAnsi="Georgia"/>
          <w:color w:val="4a5068"/>
          <w:sz w:val="21"/>
          <w:szCs w:val="21"/>
        </w:rPr>
        <w:t xml:space="preserve">	Nov 2023 – Feb 2026</w:t>
      </w:r>
    </w:p>
    <w:p>
      <w:pPr>
        <w:tabs>
          <w:tab w:val="right" w:pos="9026"/>
        </w:tabs>
        <w:spacing w:after="20" w:before="40"/>
      </w:pPr>
      <w:r>
        <w:rPr>
          <w:rFonts w:ascii="Georgia" w:cs="Georgia" w:eastAsia="Georgia" w:hAnsi="Georgia"/>
          <w:b/>
          <w:bCs/>
          <w:color w:val="2c5282"/>
          <w:sz w:val="21"/>
          <w:szCs w:val="21"/>
        </w:rPr>
        <w:t xml:space="preserve">Chief Technology Officer, Medstrat, Inc.</w:t>
      </w:r>
      <w:r>
        <w:rPr>
          <w:rFonts w:ascii="Georgia" w:cs="Georgia" w:eastAsia="Georgia" w:hAnsi="Georgia"/>
          <w:color w:val="4a5068"/>
          <w:sz w:val="21"/>
          <w:szCs w:val="21"/>
        </w:rPr>
        <w:t xml:space="preserve">	Feb 2006 – Nov 2023</w:t>
      </w:r>
    </w:p>
    <w:p>
      <w:pPr>
        <w:tabs>
          <w:tab w:val="right" w:pos="9026"/>
        </w:tabs>
        <w:spacing w:after="20" w:before="40"/>
      </w:pPr>
      <w:r>
        <w:rPr>
          <w:rFonts w:ascii="Georgia" w:cs="Georgia" w:eastAsia="Georgia" w:hAnsi="Georgia"/>
          <w:b/>
          <w:bCs/>
          <w:color w:val="2c5282"/>
          <w:sz w:val="21"/>
          <w:szCs w:val="21"/>
        </w:rPr>
        <w:t xml:space="preserve">Computer Scientist / Project Leader, LLNL</w:t>
      </w:r>
      <w:r>
        <w:rPr>
          <w:rFonts w:ascii="Georgia" w:cs="Georgia" w:eastAsia="Georgia" w:hAnsi="Georgia"/>
          <w:color w:val="4a5068"/>
          <w:sz w:val="21"/>
          <w:szCs w:val="21"/>
        </w:rPr>
        <w:t xml:space="preserve">	Jun 2002 – Sep 2005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80" w:before="240"/>
        <w:jc w:val="center"/>
      </w:pPr>
      <w:r>
        <w:rPr>
          <w:rFonts w:ascii="Georgia" w:cs="Georgia" w:eastAsia="Georgia" w:hAnsi="Georgia"/>
          <w:b/>
          <w:bCs/>
          <w:color w:val="1a1e30"/>
          <w:spacing w:val="80"/>
          <w:sz w:val="24"/>
          <w:szCs w:val="24"/>
        </w:rPr>
        <w:t xml:space="preserve">EDUCATION AND QUALIFICATIONS</w:t>
      </w:r>
    </w:p>
    <w:p>
      <w:pPr>
        <w:pBdr>
          <w:bottom w:val="single" w:color="2c5282" w:sz="6" w:space="1"/>
        </w:pBdr>
        <w:spacing w:after="40" w:before="40"/>
      </w:pPr>
    </w:p>
    <w:p>
      <w:pPr>
        <w:spacing w:after="40" w:before="120"/>
        <w:jc w:val="center"/>
      </w:pPr>
      <w:r>
        <w:rPr>
          <w:rFonts w:ascii="Georgia" w:cs="Georgia" w:eastAsia="Georgia" w:hAnsi="Georgia"/>
          <w:b/>
          <w:bCs/>
          <w:color w:val="2c5282"/>
          <w:sz w:val="21"/>
          <w:szCs w:val="21"/>
        </w:rPr>
        <w:t xml:space="preserve">M.S., Computer Sciences</w:t>
      </w:r>
      <w:r>
        <w:rPr>
          <w:rFonts w:ascii="Georgia" w:cs="Georgia" w:eastAsia="Georgia" w:hAnsi="Georgia"/>
          <w:b/>
          <w:bCs/>
          <w:color w:val="1a1e30"/>
          <w:sz w:val="21"/>
          <w:szCs w:val="21"/>
        </w:rPr>
        <w:t xml:space="preserve"> – University of Wisconsin-Madison</w:t>
      </w:r>
    </w:p>
    <w:p>
      <w:pPr>
        <w:spacing w:after="40" w:before="40"/>
        <w:jc w:val="center"/>
      </w:pPr>
      <w:r>
        <w:rPr>
          <w:rFonts w:ascii="Georgia" w:cs="Georgia" w:eastAsia="Georgia" w:hAnsi="Georgia"/>
          <w:b/>
          <w:bCs/>
          <w:color w:val="2c5282"/>
          <w:sz w:val="21"/>
          <w:szCs w:val="21"/>
        </w:rPr>
        <w:t xml:space="preserve">B.S., Physics and Mathematics</w:t>
      </w:r>
      <w:r>
        <w:rPr>
          <w:rFonts w:ascii="Georgia" w:cs="Georgia" w:eastAsia="Georgia" w:hAnsi="Georgia"/>
          <w:b/>
          <w:bCs/>
          <w:color w:val="1a1e30"/>
          <w:sz w:val="21"/>
          <w:szCs w:val="21"/>
        </w:rPr>
        <w:t xml:space="preserve"> – University of Wisconsin-Eau Claire</w:t>
      </w:r>
    </w:p>
    <w:p>
      <w:pPr>
        <w:spacing w:after="40" w:before="100"/>
        <w:jc w:val="center"/>
      </w:pPr>
      <w:r>
        <w:rPr>
          <w:rFonts w:ascii="Georgia" w:cs="Georgia" w:eastAsia="Georgia" w:hAnsi="Georgia"/>
          <w:b/>
          <w:bCs/>
          <w:color w:val="4a5068"/>
          <w:sz w:val="21"/>
          <w:szCs w:val="21"/>
        </w:rPr>
        <w:t xml:space="preserve">Board Advisor CPD – Connectd (In Progress, 94% Complete)</w:t>
      </w:r>
    </w:p>
    <w:p>
      <w:pPr>
        <w:spacing w:after="40" w:before="80"/>
        <w:jc w:val="center"/>
      </w:pPr>
      <w:r>
        <w:rPr>
          <w:rFonts w:ascii="Georgia" w:cs="Georgia" w:eastAsia="Georgia" w:hAnsi="Georgia"/>
          <w:b/>
          <w:bCs/>
          <w:color w:val="4a5068"/>
          <w:sz w:val="21"/>
          <w:szCs w:val="21"/>
        </w:rPr>
        <w:t xml:space="preserve">Sigma Pi Sigma, Physics Honor Society</w:t>
      </w:r>
      <w:r>
        <w:rPr>
          <w:rFonts w:ascii="Georgia" w:cs="Georgia" w:eastAsia="Georgia" w:hAnsi="Georgia"/>
          <w:color w:val="4a5068"/>
          <w:sz w:val="21"/>
          <w:szCs w:val="21"/>
        </w:rPr>
        <w:t xml:space="preserve"> – Member since 1996</w:t>
      </w:r>
    </w:p>
    <w:p>
      <w:pPr>
        <w:spacing w:after="120" w:before="40"/>
        <w:jc w:val="center"/>
      </w:pPr>
      <w:r>
        <w:rPr>
          <w:rFonts w:ascii="Georgia" w:cs="Georgia" w:eastAsia="Georgia" w:hAnsi="Georgia"/>
          <w:b/>
          <w:bCs/>
          <w:color w:val="4a5068"/>
          <w:sz w:val="21"/>
          <w:szCs w:val="21"/>
        </w:rPr>
        <w:t xml:space="preserve">Kappa Mu Epsilon, Mathematics Honor Society</w:t>
      </w:r>
      <w:r>
        <w:rPr>
          <w:rFonts w:ascii="Georgia" w:cs="Georgia" w:eastAsia="Georgia" w:hAnsi="Georgia"/>
          <w:color w:val="4a5068"/>
          <w:sz w:val="21"/>
          <w:szCs w:val="21"/>
        </w:rPr>
        <w:t xml:space="preserve"> – Member since 1997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4a5068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2026-03-22T19:49:59.734Z</dcterms:created>
  <dcterms:modified xsi:type="dcterms:W3CDTF">2026-03-22T19:49:59.735Z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